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Learning Design for: Το φραγκικό κράτος και ο Καρλομάγνος</w:t>
      </w:r>
      <w:bookmarkEnd w:id="1"/>
    </w:p>
    <w:p>
      <w:pPr>
        <w:pStyle w:val="Heading2"/>
      </w:pPr>
      <w:bookmarkStart w:id="2" w:name="_Toc2"/>
      <w:r>
        <w:t>Context</w:t>
      </w:r>
      <w:bookmarkEnd w:id="2"/>
    </w:p>
    <w:p>
      <w:pPr/>
      <w:r>
        <w:rPr/>
        <w:t xml:space="preserve">Topic: Πρόσβαση στην εκπαίδευση και κατάρτιση των μαθητών</w:t>
      </w:r>
    </w:p>
    <w:p>
      <w:pPr/>
      <w:r>
        <w:rPr/>
        <w:t xml:space="preserve">Total learning time: 2 hours</w:t>
      </w:r>
    </w:p>
    <w:p>
      <w:pPr/>
      <w:r>
        <w:rPr/>
        <w:t xml:space="preserve">Designed learning time: 2 hours</w:t>
      </w:r>
    </w:p>
    <w:p>
      <w:pPr/>
      <w:r>
        <w:rPr/>
        <w:t xml:space="preserve">Size of class: 12</w:t>
      </w:r>
    </w:p>
    <w:p>
      <w:pPr/>
      <w:r>
        <w:rPr/>
        <w:t xml:space="preserve">Description: Κατά τη διάρκεια του μαθήματος οι μαθητές θα χωριστούν σε ομάδες των τεσσάρων ατόμων και μέσω της έρευνας, της συζήτησης και της συνεργασίας θα καταγράψουν, θα αναλύσουν και θα αξιολογήσουν τον ρόλο του Καρλομάγνου στη δημιουργία ενός νέου βασιλείου, του πρώτου στη δυτική Ευρώπη  μετά τη διάλυση της Ρωμαϊκής αυτοκρατορίας, τον ρόλο του Πάπα ως υποστηρικτή και συνεργάτη του Καρλομάγνου, καθώς και τον αυξανόμενο ανταγωνισμό μεταξύ Ανατολής και Δύσης.</w:t>
      </w:r>
    </w:p>
    <w:p>
      <w:pPr/>
      <w:r>
        <w:rPr/>
        <w:t xml:space="preserve">Mode of delivery: Blended</w:t>
      </w:r>
    </w:p>
    <w:p>
      <w:pPr>
        <w:pStyle w:val="Heading2"/>
      </w:pPr>
      <w:bookmarkStart w:id="3" w:name="_Toc3"/>
      <w:r>
        <w:t>Aims</w:t>
      </w:r>
      <w:bookmarkEnd w:id="3"/>
    </w:p>
    <w:p>
      <w:pPr/>
      <w:r>
        <w:rPr/>
        <w:t xml:space="preserve">Σκοπός του μαθήματος είναι να διερευνήσουν οι μαθητές τους τρόπους με τους οποίους λειτουργούν τα κράτη κατά τον 8ο αιώνα διπλωματικά, πολιτικά, στρατιωτικά και να αποκτήσουν τριβή με την ιστορία της μεσαιωνικής Ευρώπης.</w:t>
      </w:r>
    </w:p>
    <w:p>
      <w:pPr>
        <w:pStyle w:val="Heading2"/>
      </w:pPr>
      <w:bookmarkStart w:id="4" w:name="_Toc4"/>
      <w:r>
        <w:t>Outcomes</w:t>
      </w:r>
      <w:bookmarkEnd w:id="4"/>
    </w:p>
    <w:p>
      <w:pPr/>
      <w:r>
        <w:rPr/>
        <w:t xml:space="preserve">Knowledge: για το φραγκικό κράτος</w:t>
      </w:r>
    </w:p>
    <w:p>
      <w:pPr/>
      <w:r>
        <w:rPr/>
        <w:t xml:space="preserve">Analysis: της πρόσληψης της στέψης του Καρλομάγνου από τους Φράγκους και του Βυζαντινούς ως στοιχείο μεγάλης τριβής μεταξύ Ανατολής και Δύσης. </w:t>
      </w:r>
    </w:p>
    <w:p>
      <w:pPr/>
      <w:r>
        <w:rPr/>
        <w:t xml:space="preserve">Comprehension: των επιτευγμάτων του Καρλομάγνου τόσο στο εξωτερικό όσο και στο εσωτερικό του κράτους του καθώς και το ρόλο του Πάπα σε αυτό. </w:t>
      </w:r>
    </w:p>
    <w:p>
      <w:pPr/>
      <w:r>
        <w:rPr/>
        <w:t xml:space="preserve">Evaluation: του αυτοκρατορικού ιδεώδους ως κληρονομιάς της ρωμαϊκής αυτοκρατορίας. Οι μαθητές αξιολογούν τις πολιτικές επιλογές του Καρλομάγνου, οι οποίες ανοίγουν ένα ρήγμα ανάμεσα στην Ανατολή και Δύση, και το οποίο αργότερα θα οδηγήσει  στο Σχίσμα των δύο Εκκλησιών. </w:t>
      </w:r>
    </w:p>
    <w:p/>
    <w:p>
      <w:pPr>
        <w:pStyle w:val="Heading2"/>
      </w:pPr>
      <w:bookmarkStart w:id="5" w:name="_Toc5"/>
      <w:r>
        <w:t>Teaching-Learning activities</w:t>
      </w:r>
      <w:bookmarkEnd w:id="5"/>
    </w:p>
    <w:p>
      <w:pPr>
        <w:pStyle w:val="Heading3"/>
      </w:pPr>
      <w:bookmarkStart w:id="6" w:name="_Toc6"/>
      <w:r>
        <w:t>Καρλομάγνος: ο στρατιωτικός και πολιτικός άνδρας</w:t>
      </w:r>
      <w:bookmarkEnd w:id="6"/>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Read Watch Listen</w:t>
            </w:r>
          </w:p>
        </w:tc>
        <w:tc>
          <w:tcPr>
            <w:tcW w:w="2551.1811023622" w:type="dxa"/>
          </w:tcPr>
          <w:p>
            <w:pPr/>
            <w:r>
              <w:rPr>
                <w:i/>
                <w:iCs/>
              </w:rPr>
              <w:t xml:space="preserve">5 minutes</w:t>
            </w:r>
          </w:p>
        </w:tc>
        <w:tc>
          <w:tcPr>
            <w:tcW w:w="1530.7086614173" w:type="dxa"/>
          </w:tcPr>
          <w:p>
            <w:pPr/>
            <w:r>
              <w:rPr>
                <w:i/>
                <w:iCs/>
              </w:rPr>
              <w:t xml:space="preserve">1 Student</w:t>
            </w:r>
          </w:p>
        </w:tc>
        <w:tc>
          <w:tcPr>
            <w:tcW w:w="2324.4094488189" w:type="dxa"/>
          </w:tcPr>
          <w:p>
            <w:pPr/>
            <w:r>
              <w:rPr>
                <w:i/>
                <w:iCs/>
              </w:rPr>
              <w:t xml:space="preserve">Teacher not present</w:t>
            </w:r>
          </w:p>
        </w:tc>
        <w:tc>
          <w:tcPr>
            <w:tcW w:w="958.11023622047" w:type="dxa"/>
          </w:tcPr>
          <w:p>
            <w:pPr/>
            <w:r>
              <w:rPr>
                <w:i/>
                <w:iCs/>
              </w:rPr>
              <w:t xml:space="preserve">Online</w:t>
            </w:r>
          </w:p>
        </w:tc>
      </w:tr>
    </w:tbl>
    <w:p>
      <w:pPr/>
      <w:r>
        <w:rPr/>
        <w:t xml:space="preserve">Οι μαθητές προετοιμάζονται ατομικά για το μάθημα παρακολουθώντας ένα βίντεο για τον Καρλομάγνο. Παρακολουθούν και κρατούν σημειώσεις.</w:t>
      </w:r>
    </w:p>
    <w:p>
      <w:pPr>
        <w:pStyle w:val="Heading4"/>
      </w:pPr>
      <w:bookmarkStart w:id="7" w:name="_Toc7"/>
      <w:r>
        <w:t>Linked resources</w:t>
      </w:r>
      <w:bookmarkEnd w:id="7"/>
    </w:p>
    <w:p>
      <w:pPr/>
      <w:r>
        <w:rPr/>
        <w:t xml:space="preserve">🔗 </w:t>
      </w:r>
      <w:hyperlink r:id="rId7" w:history="1">
        <w:r>
          <w:rPr>
            <w:rStyle w:val="fHyperLink"/>
          </w:rPr>
          <w:t xml:space="preserve">Καρλομάγνος</w:t>
        </w:r>
      </w:hyperlink>
    </w:p>
    <w:p/>
    <w:p>
      <w:pPr>
        <w:pStyle w:val="Heading3"/>
      </w:pPr>
      <w:bookmarkStart w:id="8" w:name="_Toc8"/>
      <w:r>
        <w:t>Η ακμή της φραγκικής δύναμης</w:t>
      </w:r>
      <w:bookmarkEnd w:id="8"/>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Investigate</w:t>
            </w:r>
          </w:p>
        </w:tc>
        <w:tc>
          <w:tcPr>
            <w:tcW w:w="2551.1811023622" w:type="dxa"/>
          </w:tcPr>
          <w:p>
            <w:pPr/>
            <w:r>
              <w:rPr>
                <w:i/>
                <w:iCs/>
              </w:rPr>
              <w:t xml:space="preserve">30 minutes</w:t>
            </w:r>
          </w:p>
        </w:tc>
        <w:tc>
          <w:tcPr>
            <w:tcW w:w="1530.7086614173" w:type="dxa"/>
          </w:tcPr>
          <w:p>
            <w:pPr/>
            <w:r>
              <w:rPr>
                <w:i/>
                <w:iCs/>
              </w:rPr>
              <w:t xml:space="preserve">1 Student</w:t>
            </w:r>
          </w:p>
        </w:tc>
        <w:tc>
          <w:tcPr>
            <w:tcW w:w="2324.4094488189" w:type="dxa"/>
          </w:tcPr>
          <w:p>
            <w:pPr/>
            <w:r>
              <w:rPr>
                <w:i/>
                <w:iCs/>
              </w:rPr>
              <w:t xml:space="preserve">Teacher not present</w:t>
            </w:r>
          </w:p>
        </w:tc>
        <w:tc>
          <w:tcPr>
            <w:tcW w:w="958.11023622047" w:type="dxa"/>
          </w:tcPr>
          <w:p>
            <w:pPr/>
            <w:r>
              <w:rPr>
                <w:i/>
                <w:iCs/>
              </w:rPr>
              <w:t xml:space="preserve">Online</w:t>
            </w:r>
          </w:p>
        </w:tc>
      </w:tr>
    </w:tbl>
    <w:p>
      <w:pPr/>
      <w:r>
        <w:rPr/>
        <w:t xml:space="preserve">Αναζήτηση χαρτών και πηγών στο διαδίκτυο. Οι μαθητές εντοπίζουν και καταγράφουν την έκταση του κράτους του Καρλομάγνου, την ισχυροποίηση της εξουσίας του, καθώς και τις εσωτερικές μεταρρυθμίσεις που εφάρμοσε.  Είναι πολύ σημαντικό οι μαθητές να εντοπίζουν αξιόπιστες και έγκυρες ιστορικές πηγές, καθώς και να αναφέρουν το link, από το οποίο αντλούν τις πληροφορίες τους.</w:t>
      </w:r>
    </w:p>
    <w:p>
      <w:pPr>
        <w:pStyle w:val="Heading4"/>
      </w:pPr>
      <w:bookmarkStart w:id="9" w:name="_Toc9"/>
      <w:r>
        <w:t>Linked resources</w:t>
      </w:r>
      <w:bookmarkEnd w:id="9"/>
    </w:p>
    <w:p>
      <w:pPr/>
      <w:r>
        <w:rPr/>
        <w:t xml:space="preserve">🔗 </w:t>
      </w:r>
      <w:hyperlink r:id="rId8" w:history="1">
        <w:r>
          <w:rPr>
            <w:rStyle w:val="fHyperLink"/>
          </w:rPr>
          <w:t xml:space="preserve">Harvard Generator</w:t>
        </w:r>
      </w:hyperlink>
    </w:p>
    <w:p>
      <w:pPr/>
      <w:r>
        <w:rPr/>
        <w:t xml:space="preserve">🔗 </w:t>
      </w:r>
      <w:hyperlink r:id="rId9" w:history="1">
        <w:r>
          <w:rPr>
            <w:rStyle w:val="fHyperLink"/>
          </w:rPr>
          <w:t xml:space="preserve">Χάρτης του κράτους του Καρλομάγνου</w:t>
        </w:r>
      </w:hyperlink>
    </w:p>
    <w:p/>
    <w:p>
      <w:pPr>
        <w:pStyle w:val="Heading3"/>
      </w:pPr>
      <w:bookmarkStart w:id="10" w:name="_Toc10"/>
      <w:r>
        <w:t>Η σημασία της στέψης του Καρλομάγνου από την πλευρά των Βυζαντινών και από την πλευρά των Φράγκων</w:t>
      </w:r>
      <w:bookmarkEnd w:id="10"/>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Discuss</w:t>
            </w:r>
          </w:p>
        </w:tc>
        <w:tc>
          <w:tcPr>
            <w:tcW w:w="2551.1811023622" w:type="dxa"/>
          </w:tcPr>
          <w:p>
            <w:pPr/>
            <w:r>
              <w:rPr>
                <w:i/>
                <w:iCs/>
              </w:rPr>
              <w:t xml:space="preserve">25 minutes</w:t>
            </w:r>
          </w:p>
        </w:tc>
        <w:tc>
          <w:tcPr>
            <w:tcW w:w="1530.7086614173" w:type="dxa"/>
          </w:tcPr>
          <w:p>
            <w:pPr/>
            <w:r>
              <w:rPr>
                <w:i/>
                <w:iCs/>
              </w:rPr>
              <w:t xml:space="preserve">2 Students</w:t>
            </w:r>
          </w:p>
        </w:tc>
        <w:tc>
          <w:tcPr>
            <w:tcW w:w="2324.4094488189" w:type="dxa"/>
          </w:tcPr>
          <w:p>
            <w:pPr/>
            <w:r>
              <w:rPr>
                <w:i/>
                <w:iCs/>
              </w:rPr>
              <w:t xml:space="preserve">Teacher not present</w:t>
            </w:r>
          </w:p>
        </w:tc>
        <w:tc>
          <w:tcPr>
            <w:tcW w:w="958.11023622047" w:type="dxa"/>
          </w:tcPr>
          <w:p>
            <w:pPr/>
            <w:r>
              <w:rPr>
                <w:i/>
                <w:iCs/>
              </w:rPr>
              <w:t xml:space="preserve">Face to face (not online)</w:t>
            </w:r>
          </w:p>
        </w:tc>
      </w:tr>
    </w:tbl>
    <w:p>
      <w:pPr/>
      <w:r>
        <w:rPr/>
        <w:t xml:space="preserve">Οι μαθητές χωρίζονται σε ομάδες των δύο, διαβάζουν τις πηγές και συζητούν πως προσλαμβάνουν το ίδιο ιστορικό γεγονός διαφορετικοί λαοί. Οι μαθητές αναλύουν την απειλή που αισθάνονται οι Βυζαντινοί όταν ο Πάπας στέψει τον Καρλομάγνο αυτοκράτορα. Τέλος, αναλύουν και σχολιάζουν το υποθετικό σενάριο ενός γάμου μεταξύ της βυζαντινής αυτοκράτειρας Ειρήνης και του Καρόλου και τις πολιτικές συνέπειες μια τέτοιας πιθανότητας.</w:t>
      </w:r>
    </w:p>
    <w:p>
      <w:pPr>
        <w:pStyle w:val="Heading4"/>
      </w:pPr>
      <w:bookmarkStart w:id="11" w:name="_Toc11"/>
      <w:r>
        <w:t>Linked resources</w:t>
      </w:r>
      <w:bookmarkEnd w:id="11"/>
    </w:p>
    <w:p>
      <w:pPr/>
      <w:r>
        <w:rPr/>
        <w:t xml:space="preserve">🔗 </w:t>
      </w:r>
      <w:hyperlink r:id="rId10" w:history="1">
        <w:r>
          <w:rPr>
            <w:rStyle w:val="fHyperLink"/>
          </w:rPr>
          <w:t xml:space="preserve">Η στέψη του Καρλομάγνου από την πλευρά των Βυζαντινών</w:t>
        </w:r>
      </w:hyperlink>
    </w:p>
    <w:p>
      <w:pPr/>
      <w:r>
        <w:rPr/>
        <w:t xml:space="preserve">🔗 </w:t>
      </w:r>
      <w:hyperlink r:id="rId10" w:history="1">
        <w:r>
          <w:rPr>
            <w:rStyle w:val="fHyperLink"/>
          </w:rPr>
          <w:t xml:space="preserve">Η στέψη του Καρλομάγνου από την σκοπιά των Φράγκων</w:t>
        </w:r>
      </w:hyperlink>
    </w:p>
    <w:p/>
    <w:p>
      <w:pPr>
        <w:pStyle w:val="Heading3"/>
      </w:pPr>
      <w:bookmarkStart w:id="12" w:name="_Toc12"/>
      <w:r>
        <w:t>Οι συνέπειες της στέψης</w:t>
      </w:r>
      <w:bookmarkEnd w:id="12"/>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Collaborate</w:t>
            </w:r>
          </w:p>
        </w:tc>
        <w:tc>
          <w:tcPr>
            <w:tcW w:w="2551.1811023622" w:type="dxa"/>
          </w:tcPr>
          <w:p>
            <w:pPr/>
            <w:r>
              <w:rPr>
                <w:i/>
                <w:iCs/>
              </w:rPr>
              <w:t xml:space="preserve">30 minutes</w:t>
            </w:r>
          </w:p>
        </w:tc>
        <w:tc>
          <w:tcPr>
            <w:tcW w:w="1530.7086614173" w:type="dxa"/>
          </w:tcPr>
          <w:p>
            <w:pPr/>
            <w:r>
              <w:rPr>
                <w:i/>
                <w:iCs/>
              </w:rPr>
              <w:t xml:space="preserve">4 Students</w:t>
            </w:r>
          </w:p>
        </w:tc>
        <w:tc>
          <w:tcPr>
            <w:tcW w:w="2324.4094488189" w:type="dxa"/>
          </w:tcPr>
          <w:p>
            <w:pPr/>
            <w:r>
              <w:rPr>
                <w:i/>
                <w:iCs/>
              </w:rPr>
              <w:t xml:space="preserve">Teacher not present</w:t>
            </w:r>
          </w:p>
        </w:tc>
        <w:tc>
          <w:tcPr>
            <w:tcW w:w="958.11023622047" w:type="dxa"/>
          </w:tcPr>
          <w:p>
            <w:pPr/>
            <w:r>
              <w:rPr>
                <w:i/>
                <w:iCs/>
              </w:rPr>
              <w:t xml:space="preserve">Face to face (not online)</w:t>
            </w:r>
          </w:p>
        </w:tc>
      </w:tr>
    </w:tbl>
    <w:p>
      <w:pPr/>
      <w:r>
        <w:rPr/>
        <w:t xml:space="preserve">Οι μαθητές σε ομάδες των τεσσάρων συνεργάζονται για να συζητήσουν, να καταγράψουν και να αξιολογήσουν τις συνέπειες της στέψης του Καρλομάγνου. Οι μαθητές θα  μπορούν να διαπιστώσουν τη στενή σχέση του Καρλομάγνου με τον παπισμό μέσα από τη μελέτη μιας σειράς εικόνων και να αναλύσουν το ρόλο του Πάπα στις πολιτικές εξελίξεις. Θα στοχαστούν πάνω στη διάσταση που επήλθε μεταξύ Ανατολής και Δύσης πρώτα με τη γλώσσα, κατόπιν με την θρησκεία και τη στάση του Πάπα απέναντι στους βυζαντινούς αυτοκράτορες, και τώρα με την πολιτική.</w:t>
      </w:r>
    </w:p>
    <w:p>
      <w:pPr>
        <w:pStyle w:val="Heading4"/>
      </w:pPr>
      <w:bookmarkStart w:id="13" w:name="_Toc13"/>
      <w:r>
        <w:t>Linked resources</w:t>
      </w:r>
      <w:bookmarkEnd w:id="13"/>
    </w:p>
    <w:p>
      <w:pPr/>
      <w:r>
        <w:rPr/>
        <w:t xml:space="preserve">🔗 </w:t>
      </w:r>
      <w:hyperlink r:id="rId11" w:history="1">
        <w:r>
          <w:rPr>
            <w:rStyle w:val="fHyperLink"/>
          </w:rPr>
          <w:t xml:space="preserve">Ο Πάπας Αδριανός Α΄ ζητά τη βοήθεια του Καρλομάγνου</w:t>
        </w:r>
      </w:hyperlink>
    </w:p>
    <w:p>
      <w:pPr/>
      <w:r>
        <w:rPr/>
        <w:t xml:space="preserve">🔗 </w:t>
      </w:r>
      <w:hyperlink r:id="rId12" w:history="1">
        <w:r>
          <w:rPr>
            <w:rStyle w:val="fHyperLink"/>
          </w:rPr>
          <w:t xml:space="preserve">Ο πάπας στέφει τον Καρλομάγνο</w:t>
        </w:r>
      </w:hyperlink>
    </w:p>
    <w:p>
      <w:pPr/>
      <w:r>
        <w:rPr/>
        <w:t xml:space="preserve">🔗 </w:t>
      </w:r>
      <w:hyperlink r:id="rId10" w:history="1">
        <w:r>
          <w:rPr>
            <w:rStyle w:val="fHyperLink"/>
          </w:rPr>
          <w:t xml:space="preserve">Ο Άγιος Πέτρος παραδίδει στον Λέοντα Γ τον μανδύα και στον βασιλιά Καρλομάγνο μια σημαία</w:t>
        </w:r>
      </w:hyperlink>
    </w:p>
    <w:p/>
    <w:p>
      <w:pPr>
        <w:pStyle w:val="Heading3"/>
      </w:pPr>
      <w:bookmarkStart w:id="14" w:name="_Toc14"/>
      <w:r>
        <w:t>Παρουσίαση συμπερασμάτων</w:t>
      </w:r>
      <w:bookmarkEnd w:id="14"/>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Read Watch Listen</w:t>
            </w:r>
          </w:p>
        </w:tc>
        <w:tc>
          <w:tcPr>
            <w:tcW w:w="2551.1811023622" w:type="dxa"/>
          </w:tcPr>
          <w:p>
            <w:pPr/>
            <w:r>
              <w:rPr>
                <w:i/>
                <w:iCs/>
              </w:rPr>
              <w:t xml:space="preserve">30 minutes</w:t>
            </w:r>
          </w:p>
        </w:tc>
        <w:tc>
          <w:tcPr>
            <w:tcW w:w="1530.7086614173" w:type="dxa"/>
          </w:tcPr>
          <w:p>
            <w:pPr/>
            <w:r>
              <w:rPr>
                <w:i/>
                <w:iCs/>
              </w:rPr>
              <w:t xml:space="preserve">4 Students</w:t>
            </w:r>
          </w:p>
        </w:tc>
        <w:tc>
          <w:tcPr>
            <w:tcW w:w="2324.4094488189" w:type="dxa"/>
          </w:tcPr>
          <w:p>
            <w:pPr/>
            <w:r>
              <w:rPr>
                <w:i/>
                <w:iCs/>
              </w:rPr>
              <w:t xml:space="preserve">Teacher present</w:t>
            </w:r>
          </w:p>
        </w:tc>
        <w:tc>
          <w:tcPr>
            <w:tcW w:w="958.11023622047" w:type="dxa"/>
          </w:tcPr>
          <w:p>
            <w:pPr/>
            <w:r>
              <w:rPr>
                <w:i/>
                <w:iCs/>
              </w:rPr>
              <w:t xml:space="preserve">Face to face (not online)</w:t>
            </w:r>
          </w:p>
        </w:tc>
      </w:tr>
    </w:tbl>
    <w:p>
      <w:pPr/>
      <w:r>
        <w:rPr/>
        <w:t xml:space="preserve">Οι μαθητές καλούνται να παρουσιάσουν ανά ομάδες τα συμπεράσματά τους και να συζητήσουν με το υπόλοιπο τμήμα τυχόν απορίες. Η κάθε παρουσίαση διαρκεί 10 λεπτά.</w:t>
      </w:r>
    </w:p>
    <w:p/>
    <w:p>
      <w:r>
        <w:br w:type="page"/>
      </w:r>
    </w:p>
    <w:p>
      <w:pPr>
        <w:pStyle w:val="Heading2"/>
      </w:pPr>
      <w:bookmarkStart w:id="15" w:name="_Toc15"/>
      <w:r>
        <w:t>Representations of the learning experience</w:t>
      </w:r>
      <w:bookmarkEnd w:id="15"/>
    </w:p>
    <w:p>
      <w:r>
        <w:drawing>
          <wp:inline>
            <wp:extent cx="2203200" cy="2314800"/>
            <wp:docPr id="13" name="Chart13"/>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Learning through</w:t>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67DBF2"/>
          </w:tcPr>
          <w:p/>
        </w:tc>
        <w:tc>
          <w:tcPr>
            <w:tcW w:w="3401.5748031496" w:type="dxa"/>
          </w:tcPr>
          <w:p>
            <w:pPr/>
            <w:r>
              <w:rPr/>
              <w:t xml:space="preserve">Acquisition (Read, Watch, Listen)</w:t>
            </w:r>
          </w:p>
        </w:tc>
        <w:tc>
          <w:tcPr>
            <w:tcW w:w="1133.8582677165" w:type="dxa"/>
          </w:tcPr>
          <w:p>
            <w:pPr/>
            <w:r>
              <w:rPr/>
              <w:t xml:space="preserve">35</w:t>
            </w:r>
          </w:p>
        </w:tc>
        <w:tc>
          <w:tcPr>
            <w:tcW w:w="566.92913385827" w:type="dxa"/>
          </w:tcPr>
          <w:p>
            <w:pPr/>
            <w:r>
              <w:rPr/>
              <w:t xml:space="preserve">29</w:t>
            </w:r>
          </w:p>
        </w:tc>
      </w:tr>
      <w:tr>
        <w:trPr/>
        <w:tc>
          <w:tcPr>
            <w:tcW w:w="62.362204724409" w:type="dxa"/>
            <w:shd w:val="clear" w:fill="F8807F"/>
          </w:tcPr>
          <w:p/>
        </w:tc>
        <w:tc>
          <w:tcPr>
            <w:tcW w:w="3401.5748031496" w:type="dxa"/>
          </w:tcPr>
          <w:p>
            <w:pPr/>
            <w:r>
              <w:rPr/>
              <w:t xml:space="preserve">Investigation</w:t>
            </w:r>
          </w:p>
        </w:tc>
        <w:tc>
          <w:tcPr>
            <w:tcW w:w="1133.8582677165" w:type="dxa"/>
          </w:tcPr>
          <w:p>
            <w:pPr/>
            <w:r>
              <w:rPr/>
              <w:t xml:space="preserve">30</w:t>
            </w:r>
          </w:p>
        </w:tc>
        <w:tc>
          <w:tcPr>
            <w:tcW w:w="566.92913385827" w:type="dxa"/>
          </w:tcPr>
          <w:p>
            <w:pPr/>
            <w:r>
              <w:rPr/>
              <w:t xml:space="preserve">25</w:t>
            </w:r>
          </w:p>
        </w:tc>
      </w:tr>
      <w:tr>
        <w:trPr/>
        <w:tc>
          <w:tcPr>
            <w:tcW w:w="62.362204724409" w:type="dxa"/>
            <w:shd w:val="clear" w:fill="7AAEEA"/>
          </w:tcPr>
          <w:p/>
        </w:tc>
        <w:tc>
          <w:tcPr>
            <w:tcW w:w="3401.5748031496" w:type="dxa"/>
          </w:tcPr>
          <w:p>
            <w:pPr/>
            <w:r>
              <w:rPr/>
              <w:t xml:space="preserve">Discussion</w:t>
            </w:r>
          </w:p>
        </w:tc>
        <w:tc>
          <w:tcPr>
            <w:tcW w:w="1133.8582677165" w:type="dxa"/>
          </w:tcPr>
          <w:p>
            <w:pPr/>
            <w:r>
              <w:rPr/>
              <w:t xml:space="preserve">25</w:t>
            </w:r>
          </w:p>
        </w:tc>
        <w:tc>
          <w:tcPr>
            <w:tcW w:w="566.92913385827" w:type="dxa"/>
          </w:tcPr>
          <w:p>
            <w:pPr/>
            <w:r>
              <w:rPr/>
              <w:t xml:space="preserve">21</w:t>
            </w:r>
          </w:p>
        </w:tc>
      </w:tr>
      <w:tr>
        <w:trPr/>
        <w:tc>
          <w:tcPr>
            <w:tcW w:w="62.362204724409" w:type="dxa"/>
            <w:shd w:val="clear" w:fill="BB98DC"/>
          </w:tcPr>
          <w:p/>
        </w:tc>
        <w:tc>
          <w:tcPr>
            <w:tcW w:w="3401.5748031496" w:type="dxa"/>
          </w:tcPr>
          <w:p>
            <w:pPr/>
            <w:r>
              <w:rPr/>
              <w:t xml:space="preserve">Practice</w:t>
            </w:r>
          </w:p>
        </w:tc>
        <w:tc>
          <w:tcPr>
            <w:tcW w:w="1133.8582677165" w:type="dxa"/>
          </w:tcPr>
          <w:p>
            <w:pPr/>
            <w:r>
              <w:rPr/>
              <w:t xml:space="preserve">0</w:t>
            </w:r>
          </w:p>
        </w:tc>
        <w:tc>
          <w:tcPr>
            <w:tcW w:w="566.92913385827" w:type="dxa"/>
          </w:tcPr>
          <w:p>
            <w:pPr/>
            <w:r>
              <w:rPr/>
              <w:t xml:space="preserve">0</w:t>
            </w:r>
          </w:p>
        </w:tc>
      </w:tr>
      <w:tr>
        <w:trPr/>
        <w:tc>
          <w:tcPr>
            <w:tcW w:w="62.362204724409" w:type="dxa"/>
            <w:shd w:val="clear" w:fill="FFCD00"/>
          </w:tcPr>
          <w:p/>
        </w:tc>
        <w:tc>
          <w:tcPr>
            <w:tcW w:w="3401.5748031496" w:type="dxa"/>
          </w:tcPr>
          <w:p>
            <w:pPr/>
            <w:r>
              <w:rPr/>
              <w:t xml:space="preserve">Collaboration</w:t>
            </w:r>
          </w:p>
        </w:tc>
        <w:tc>
          <w:tcPr>
            <w:tcW w:w="1133.8582677165" w:type="dxa"/>
          </w:tcPr>
          <w:p>
            <w:pPr/>
            <w:r>
              <w:rPr/>
              <w:t xml:space="preserve">30</w:t>
            </w:r>
          </w:p>
        </w:tc>
        <w:tc>
          <w:tcPr>
            <w:tcW w:w="566.92913385827" w:type="dxa"/>
          </w:tcPr>
          <w:p>
            <w:pPr/>
            <w:r>
              <w:rPr/>
              <w:t xml:space="preserve">25</w:t>
            </w:r>
          </w:p>
        </w:tc>
      </w:tr>
      <w:tr>
        <w:trPr/>
        <w:tc>
          <w:tcPr>
            <w:tcW w:w="62.362204724409" w:type="dxa"/>
            <w:shd w:val="clear" w:fill="BDEA75"/>
          </w:tcPr>
          <w:p/>
        </w:tc>
        <w:tc>
          <w:tcPr>
            <w:tcW w:w="3401.5748031496" w:type="dxa"/>
          </w:tcPr>
          <w:p>
            <w:pPr/>
            <w:r>
              <w:rPr/>
              <w:t xml:space="preserve">Production</w:t>
            </w:r>
          </w:p>
        </w:tc>
        <w:tc>
          <w:tcPr>
            <w:tcW w:w="1133.8582677165" w:type="dxa"/>
          </w:tcPr>
          <w:p>
            <w:pPr/>
            <w:r>
              <w:rPr/>
              <w:t xml:space="preserve">0</w:t>
            </w:r>
          </w:p>
        </w:tc>
        <w:tc>
          <w:tcPr>
            <w:tcW w:w="566.92913385827" w:type="dxa"/>
          </w:tcPr>
          <w:p>
            <w:pPr/>
            <w:r>
              <w:rPr/>
              <w:t xml:space="preserve">0</w:t>
            </w:r>
          </w:p>
        </w:tc>
      </w:tr>
    </w:tbl>
    <w:p/>
    <w:p>
      <w:r>
        <w:br w:type="page"/>
      </w:r>
    </w:p>
    <w:p>
      <w:r>
        <w:drawing>
          <wp:inline>
            <wp:extent cx="4629600" cy="1620000"/>
            <wp:docPr id="14" name="Chart14"/>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477453"/>
          </w:tcPr>
          <w:p/>
        </w:tc>
        <w:tc>
          <w:tcPr>
            <w:tcW w:w="3401.5748031496" w:type="dxa"/>
          </w:tcPr>
          <w:p>
            <w:pPr/>
            <w:r>
              <w:rPr/>
              <w:t xml:space="preserve">Whole class</w:t>
            </w:r>
          </w:p>
        </w:tc>
        <w:tc>
          <w:tcPr>
            <w:tcW w:w="1133.8582677165" w:type="dxa"/>
          </w:tcPr>
          <w:p>
            <w:pPr/>
            <w:r>
              <w:rPr/>
              <w:t xml:space="preserve">0</w:t>
            </w:r>
          </w:p>
        </w:tc>
        <w:tc>
          <w:tcPr>
            <w:tcW w:w="566.92913385827" w:type="dxa"/>
          </w:tcPr>
          <w:p>
            <w:pPr/>
            <w:r>
              <w:rPr/>
              <w:t xml:space="preserve">0</w:t>
            </w:r>
          </w:p>
        </w:tc>
      </w:tr>
      <w:tr>
        <w:trPr/>
        <w:tc>
          <w:tcPr>
            <w:tcW w:w="62.362204724409" w:type="dxa"/>
            <w:shd w:val="clear" w:fill="6BAD7D"/>
          </w:tcPr>
          <w:p/>
        </w:tc>
        <w:tc>
          <w:tcPr>
            <w:tcW w:w="3401.5748031496" w:type="dxa"/>
          </w:tcPr>
          <w:p>
            <w:pPr/>
            <w:r>
              <w:rPr/>
              <w:t xml:space="preserve">Group</w:t>
            </w:r>
          </w:p>
        </w:tc>
        <w:tc>
          <w:tcPr>
            <w:tcW w:w="1133.8582677165" w:type="dxa"/>
          </w:tcPr>
          <w:p>
            <w:pPr/>
            <w:r>
              <w:rPr/>
              <w:t xml:space="preserve">85</w:t>
            </w:r>
          </w:p>
        </w:tc>
        <w:tc>
          <w:tcPr>
            <w:tcW w:w="566.92913385827" w:type="dxa"/>
          </w:tcPr>
          <w:p>
            <w:pPr/>
            <w:r>
              <w:rPr/>
              <w:t xml:space="preserve">71</w:t>
            </w:r>
          </w:p>
        </w:tc>
      </w:tr>
      <w:tr>
        <w:trPr/>
        <w:tc>
          <w:tcPr>
            <w:tcW w:w="62.362204724409" w:type="dxa"/>
            <w:shd w:val="clear" w:fill="B6D7BF"/>
          </w:tcPr>
          <w:p/>
        </w:tc>
        <w:tc>
          <w:tcPr>
            <w:tcW w:w="3401.5748031496" w:type="dxa"/>
          </w:tcPr>
          <w:p>
            <w:pPr/>
            <w:r>
              <w:rPr/>
              <w:t xml:space="preserve">Individual</w:t>
            </w:r>
          </w:p>
        </w:tc>
        <w:tc>
          <w:tcPr>
            <w:tcW w:w="1133.8582677165" w:type="dxa"/>
          </w:tcPr>
          <w:p>
            <w:pPr/>
            <w:r>
              <w:rPr/>
              <w:t xml:space="preserve">35</w:t>
            </w:r>
          </w:p>
        </w:tc>
        <w:tc>
          <w:tcPr>
            <w:tcW w:w="566.92913385827" w:type="dxa"/>
          </w:tcPr>
          <w:p>
            <w:pPr/>
            <w:r>
              <w:rPr/>
              <w:t xml:space="preserve">29</w:t>
            </w:r>
          </w:p>
        </w:tc>
      </w:tr>
    </w:tbl>
    <w:p/>
    <w:p>
      <w:pPr/>
    </w:p>
    <w:p>
      <w:r>
        <w:drawing>
          <wp:inline>
            <wp:extent cx="2203200" cy="2314800"/>
            <wp:docPr id="15" name="Chart15"/>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2B5B80"/>
          </w:tcPr>
          <w:p/>
        </w:tc>
        <w:tc>
          <w:tcPr>
            <w:tcW w:w="3401.5748031496" w:type="dxa"/>
          </w:tcPr>
          <w:p>
            <w:pPr/>
            <w:r>
              <w:rPr/>
              <w:t xml:space="preserve">Face to face (not online)</w:t>
            </w:r>
          </w:p>
        </w:tc>
        <w:tc>
          <w:tcPr>
            <w:tcW w:w="1133.8582677165" w:type="dxa"/>
          </w:tcPr>
          <w:p>
            <w:pPr/>
            <w:r>
              <w:rPr/>
              <w:t xml:space="preserve">85</w:t>
            </w:r>
          </w:p>
        </w:tc>
        <w:tc>
          <w:tcPr>
            <w:tcW w:w="566.92913385827" w:type="dxa"/>
          </w:tcPr>
          <w:p>
            <w:pPr/>
            <w:r>
              <w:rPr/>
              <w:t xml:space="preserve">71</w:t>
            </w:r>
          </w:p>
        </w:tc>
      </w:tr>
      <w:tr>
        <w:trPr/>
        <w:tc>
          <w:tcPr>
            <w:tcW w:w="62.362204724409" w:type="dxa"/>
            <w:shd w:val="clear" w:fill="BECBDB"/>
          </w:tcPr>
          <w:p/>
        </w:tc>
        <w:tc>
          <w:tcPr>
            <w:tcW w:w="3401.5748031496" w:type="dxa"/>
          </w:tcPr>
          <w:p>
            <w:pPr/>
            <w:r>
              <w:rPr/>
              <w:t xml:space="preserve">Online</w:t>
            </w:r>
          </w:p>
        </w:tc>
        <w:tc>
          <w:tcPr>
            <w:tcW w:w="1133.8582677165" w:type="dxa"/>
          </w:tcPr>
          <w:p>
            <w:pPr/>
            <w:r>
              <w:rPr/>
              <w:t xml:space="preserve">35</w:t>
            </w:r>
          </w:p>
        </w:tc>
        <w:tc>
          <w:tcPr>
            <w:tcW w:w="566.92913385827" w:type="dxa"/>
          </w:tcPr>
          <w:p>
            <w:pPr/>
            <w:r>
              <w:rPr/>
              <w:t xml:space="preserve">29</w:t>
            </w:r>
          </w:p>
        </w:tc>
      </w:tr>
    </w:tbl>
    <w:p>
      <w:r>
        <w:drawing>
          <wp:inline>
            <wp:extent cx="2203200" cy="2314800"/>
            <wp:docPr id="16" name="Chart16"/>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73604C"/>
          </w:tcPr>
          <w:p/>
        </w:tc>
        <w:tc>
          <w:tcPr>
            <w:tcW w:w="3401.5748031496" w:type="dxa"/>
          </w:tcPr>
          <w:p>
            <w:pPr/>
            <w:r>
              <w:rPr/>
              <w:t xml:space="preserve">Teacher present</w:t>
            </w:r>
          </w:p>
        </w:tc>
        <w:tc>
          <w:tcPr>
            <w:tcW w:w="1133.8582677165" w:type="dxa"/>
          </w:tcPr>
          <w:p>
            <w:pPr/>
            <w:r>
              <w:rPr/>
              <w:t xml:space="preserve">30</w:t>
            </w:r>
          </w:p>
        </w:tc>
        <w:tc>
          <w:tcPr>
            <w:tcW w:w="566.92913385827" w:type="dxa"/>
          </w:tcPr>
          <w:p>
            <w:pPr/>
            <w:r>
              <w:rPr/>
              <w:t xml:space="preserve">25</w:t>
            </w:r>
          </w:p>
        </w:tc>
      </w:tr>
      <w:tr>
        <w:trPr/>
        <w:tc>
          <w:tcPr>
            <w:tcW w:w="62.362204724409" w:type="dxa"/>
            <w:shd w:val="clear" w:fill="D3C0AC"/>
          </w:tcPr>
          <w:p/>
        </w:tc>
        <w:tc>
          <w:tcPr>
            <w:tcW w:w="3401.5748031496" w:type="dxa"/>
          </w:tcPr>
          <w:p>
            <w:pPr/>
            <w:r>
              <w:rPr/>
              <w:t xml:space="preserve">Teacher not present</w:t>
            </w:r>
          </w:p>
        </w:tc>
        <w:tc>
          <w:tcPr>
            <w:tcW w:w="1133.8582677165" w:type="dxa"/>
          </w:tcPr>
          <w:p>
            <w:pPr/>
            <w:r>
              <w:rPr/>
              <w:t xml:space="preserve">90</w:t>
            </w:r>
          </w:p>
        </w:tc>
        <w:tc>
          <w:tcPr>
            <w:tcW w:w="566.92913385827" w:type="dxa"/>
          </w:tcPr>
          <w:p>
            <w:pPr/>
            <w:r>
              <w:rPr/>
              <w:t xml:space="preserve">75</w:t>
            </w:r>
          </w:p>
        </w:tc>
      </w:tr>
    </w:tbl>
    <w:sectPr>
      <w:pgSz w:orient="portrait" w:w="11905.511811024" w:h="16837.795275591"/>
      <w:pgMar w:top="1133.8582677165" w:right="1303.937007874" w:bottom="1133.8582677165" w:left="1303.93700787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left"/>
      <w:spacing w:before="0" w:after="120"/>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0" w:after="400"/>
    </w:pPr>
    <w:rPr>
      <w:rFonts w:ascii="Calibri" w:hAnsi="Calibri" w:eastAsia="Calibri" w:cs="Calibri"/>
      <w:sz w:val="28"/>
      <w:szCs w:val="28"/>
      <w:b/>
      <w:bCs/>
    </w:rPr>
  </w:style>
  <w:style w:type="paragraph" w:styleId="Heading2">
    <w:link w:val="Heading2Char"/>
    <w:name w:val="heading 2"/>
    <w:basedOn w:val="Normal"/>
    <w:pPr>
      <w:jc w:val="left"/>
      <w:spacing w:before="102.04724409449" w:after="51.023622047244"/>
    </w:pPr>
    <w:rPr>
      <w:rFonts w:ascii="Calibri" w:hAnsi="Calibri" w:eastAsia="Calibri" w:cs="Calibri"/>
      <w:sz w:val="28"/>
      <w:szCs w:val="28"/>
      <w:b/>
      <w:bCs/>
    </w:rPr>
  </w:style>
  <w:style w:type="paragraph" w:styleId="Heading3">
    <w:link w:val="Heading3Char"/>
    <w:name w:val="heading 3"/>
    <w:basedOn w:val="Normal"/>
    <w:pPr>
      <w:jc w:val="left"/>
      <w:spacing w:before="102.04724409449" w:after="51.023622047244"/>
    </w:pPr>
    <w:rPr>
      <w:sz w:val="24"/>
      <w:szCs w:val="24"/>
      <w:b/>
      <w:bCs/>
      <w:i/>
      <w:iCs/>
    </w:rPr>
  </w:style>
  <w:style w:type="paragraph" w:styleId="Heading4">
    <w:link w:val="Heading4Char"/>
    <w:name w:val="heading 4"/>
    <w:basedOn w:val="Normal"/>
    <w:pPr>
      <w:jc w:val="left"/>
      <w:spacing w:before="102.04724409449" w:after="51.023622047244"/>
    </w:pPr>
    <w:rPr>
      <w:sz w:val="24"/>
      <w:szCs w:val="24"/>
      <w:i/>
      <w:iCs/>
    </w:rPr>
  </w:style>
  <w:style w:type="character">
    <w:name w:val="fMultipleTab"/>
    <w:rPr>
      <w:i/>
      <w:iCs/>
    </w:rPr>
  </w:style>
  <w:style w:type="paragraph" w:customStyle="1" w:styleId="multipleTab">
    <w:name w:val="multipleTab"/>
    <w:basedOn w:val="Normal"/>
    <w:pPr>
      <w:tabs>
        <w:tab w:val="left" w:leader="none" w:pos="2267.7165354331"/>
        <w:tab w:val="left" w:leader="none" w:pos="3685.0393700787"/>
        <w:tab w:val="left" w:leader="none" w:pos="5102.3622047244"/>
      </w:tabs>
    </w:pPr>
  </w:style>
  <w:style w:type="paragraph" w:customStyle="1" w:styleId="pNormalIndent">
    <w:name w:val="pNormalIndent"/>
    <w:basedOn w:val="Normal"/>
    <w:pPr>
      <w:jc w:val="left"/>
    </w:pPr>
  </w:style>
  <w:style w:type="character">
    <w:name w:val="fNormalIndent"/>
    <w:rPr>
      <w:sz w:val="24"/>
      <w:szCs w:val="24"/>
    </w:rPr>
  </w:style>
  <w:style w:type="character">
    <w:name w:val="fHyperLink"/>
    <w:rPr>
      <w:color w:val="#007bff"/>
      <w:u w:val="single"/>
    </w:rPr>
  </w:style>
  <w:style w:type="paragraph" w:customStyle="1" w:styleId="indented">
    <w:name w:val="indented"/>
    <w:basedOn w:val="Normal"/>
    <w:pPr/>
  </w:style>
  <w:style w:type="table" w:customStyle="1" w:styleId="AnalysisTable">
    <w:name w:val="AnalysisTable"/>
    <w:uiPriority w:val="99"/>
    <w:tblPr>
      <w:tblW w:w="0" w:type="auto"/>
      <w:tblLayout w:type="autofit"/>
      <w:tblCellMar>
        <w:top w:w="80" w:type="dxa"/>
        <w:left w:w="80" w:type="dxa"/>
        <w:right w:w="80" w:type="dxa"/>
        <w:bottom w:w="80" w:type="dxa"/>
      </w:tblCellMar>
      <w:tblBorders>
        <w:top w:val="single" w:sz="6" w:color="ededed"/>
        <w:left w:val="single" w:sz="6" w:color="ededed"/>
        <w:right w:val="single" w:sz="6" w:color="ededed"/>
        <w:bottom w:val="single" w:sz="6" w:color="ededed"/>
        <w:insideH w:val="single" w:sz="6" w:color="ededed"/>
        <w:insideV w:val="single" w:sz="6" w:color="ededed"/>
      </w:tblBorders>
    </w:tblPr>
    <w:tblStylePr w:type="firstRow">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81s3LXeIRSA" TargetMode="External"/><Relationship Id="rId8" Type="http://schemas.openxmlformats.org/officeDocument/2006/relationships/hyperlink" Target="https://www.mybib.com/tools/harvard-referencing-generator" TargetMode="External"/><Relationship Id="rId9" Type="http://schemas.openxmlformats.org/officeDocument/2006/relationships/hyperlink" Target="http://www.medievaleuropeonline.com/maps/4-1.pdf" TargetMode="External"/><Relationship Id="rId10" Type="http://schemas.openxmlformats.org/officeDocument/2006/relationships/hyperlink" Target="http://ebooks.edu.gr/ebooks/v/html/8547/2698/Istoria_B-Lykeiou_html-empl/index1_8.html" TargetMode="External"/><Relationship Id="rId11" Type="http://schemas.openxmlformats.org/officeDocument/2006/relationships/hyperlink" Target="https://commons.wikimedia.org/wiki/File:Pope_Adrian_I.jpg" TargetMode="External"/><Relationship Id="rId12" Type="http://schemas.openxmlformats.org/officeDocument/2006/relationships/hyperlink" Target="https://commons.wikimedia.org/wiki/File:Pope_Leo_III_crowning_Charlemagne_as_Emperor_on_Christmas_Day,_800;,_from_Chroniques_de_France_ou_de_St_Denis,_14th_century_(22690436826).jpg" TargetMode="Externa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s>
</file>

<file path=word/charts/chart1.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6"/>
              <c:pt idx="0">
                <c:v>Acquisition</c:v>
              </c:pt>
              <c:pt idx="1">
                <c:v>Collaboration</c:v>
              </c:pt>
              <c:pt idx="2">
                <c:v>Discussion</c:v>
              </c:pt>
              <c:pt idx="3">
                <c:v>Inquiry</c:v>
              </c:pt>
              <c:pt idx="4">
                <c:v>Practice</c:v>
              </c:pt>
              <c:pt idx="5">
                <c:v>Production</c:v>
              </c:pt>
            </c:strLit>
          </c:cat>
          <c:val>
            <c:numLit>
              <c:ptCount val="6"/>
              <c:pt idx="0">
                <c:v>35</c:v>
              </c:pt>
              <c:pt idx="1">
                <c:v>30</c:v>
              </c:pt>
              <c:pt idx="2">
                <c:v>25</c:v>
              </c:pt>
              <c:pt idx="3">
                <c:v>30</c:v>
              </c:pt>
              <c:pt idx="4">
                <c:v>0</c:v>
              </c:pt>
              <c:pt idx="5">
                <c:v>0</c:v>
              </c:pt>
            </c:numLit>
          </c:val>
          <c:dPt>
            <c:idx val="0"/>
            <c:spPr>
              <a:solidFill>
                <a:srgbClr val="67DBF2"/>
              </a:solidFill>
            </c:spPr>
          </c:dPt>
          <c:dPt>
            <c:idx val="1"/>
            <c:spPr>
              <a:solidFill>
                <a:srgbClr val="FFCD00"/>
              </a:solidFill>
            </c:spPr>
          </c:dPt>
          <c:dPt>
            <c:idx val="2"/>
            <c:spPr>
              <a:solidFill>
                <a:srgbClr val="7AAEEA"/>
              </a:solidFill>
            </c:spPr>
          </c:dPt>
          <c:dPt>
            <c:idx val="3"/>
            <c:spPr>
              <a:solidFill>
                <a:srgbClr val="F8807F"/>
              </a:solidFill>
            </c:spPr>
          </c:dPt>
          <c:dPt>
            <c:idx val="4"/>
            <c:spPr>
              <a:solidFill>
                <a:srgbClr val="BB98DC"/>
              </a:solidFill>
            </c:spPr>
          </c:dPt>
          <c:dPt>
            <c:idx val="5"/>
            <c:spPr>
              <a:solidFill>
                <a:srgbClr val="BDEA75"/>
              </a:solidFill>
            </c:spPr>
          </c:dPt>
        </c:ser>
        <c:overlap val="100"/>
      </c:pieChart>
    </c:plotArea>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c:chart>
    <c:autoTitleDeleted val="1"/>
    <c:plotArea>
      <c:layout/>
      <c:barChart>
        <c:varyColors val="0"/>
        <c:barDir val="bar"/>
        <c:grouping val="percentStacked"/>
        <c:ser>
          <c:idx val="0"/>
          <c:order val="0"/>
          <c:dLbls>
            <c:showVal val="0"/>
            <c:showCatName val="0"/>
            <c:showLegendKey val="0"/>
            <c:showSerName val="0"/>
            <c:showPercent val="0"/>
            <c:showLeaderLines val="0"/>
            <c:showBubbleSize val="0"/>
          </c:dLbls>
          <c:cat>
            <c:strLit>
              <c:ptCount val="3"/>
              <c:pt idx="0">
                <c:v>Whole class</c:v>
              </c:pt>
              <c:pt idx="1">
                <c:v>Group</c:v>
              </c:pt>
              <c:pt idx="2">
                <c:v>Individual</c:v>
              </c:pt>
            </c:strLit>
          </c:cat>
          <c:val>
            <c:numLit>
              <c:ptCount val="1"/>
              <c:pt idx="0">
                <c:v>0</c:v>
              </c:pt>
            </c:numLit>
          </c:val>
          <c:dPt>
            <c:idx val="0"/>
            <c:spPr>
              <a:solidFill>
                <a:srgbClr val="477453"/>
              </a:solidFill>
            </c:spPr>
          </c:dPt>
          <c:dPt>
            <c:idx val="1"/>
            <c:spPr>
              <a:solidFill>
                <a:srgbClr val="6BAD7D"/>
              </a:solidFill>
            </c:spPr>
          </c:dPt>
          <c:dPt>
            <c:idx val="2"/>
            <c:spPr>
              <a:solidFill>
                <a:srgbClr val="B6D7BF"/>
              </a:solidFill>
            </c:spPr>
          </c:dPt>
        </c:ser>
        <c:ser>
          <c:idx val="1"/>
          <c:order val="1"/>
          <c:dLbls>
            <c:showVal val="0"/>
            <c:showCatName val="0"/>
            <c:showLegendKey val="0"/>
            <c:showSerName val="0"/>
            <c:showPercent val="0"/>
            <c:showLeaderLines val="0"/>
            <c:showBubbleSize val="0"/>
          </c:dLbls>
          <c:cat>
            <c:strLit>
              <c:ptCount val="1"/>
              <c:pt idx="0">
                <c:v>Group</c:v>
              </c:pt>
            </c:strLit>
          </c:cat>
          <c:val>
            <c:numLit>
              <c:ptCount val="1"/>
              <c:pt idx="0">
                <c:v>85</c:v>
              </c:pt>
            </c:numLit>
          </c:val>
          <c:dPt>
            <c:idx val="0"/>
            <c:spPr>
              <a:solidFill>
                <a:srgbClr val="6BAD7D"/>
              </a:solidFill>
            </c:spPr>
          </c:dPt>
          <c:dPt>
            <c:idx val="1"/>
            <c:spPr>
              <a:solidFill>
                <a:srgbClr val="B6D7BF"/>
              </a:solidFill>
            </c:spPr>
          </c:dPt>
        </c:ser>
        <c:ser>
          <c:idx val="2"/>
          <c:order val="2"/>
          <c:dLbls>
            <c:showVal val="0"/>
            <c:showCatName val="0"/>
            <c:showLegendKey val="0"/>
            <c:showSerName val="0"/>
            <c:showPercent val="0"/>
            <c:showLeaderLines val="0"/>
            <c:showBubbleSize val="0"/>
          </c:dLbls>
          <c:cat>
            <c:strLit>
              <c:ptCount val="1"/>
              <c:pt idx="0">
                <c:v>Dis</c:v>
              </c:pt>
            </c:strLit>
          </c:cat>
          <c:val>
            <c:numLit>
              <c:ptCount val="1"/>
              <c:pt idx="0">
                <c:v>35</c:v>
              </c:pt>
            </c:numLit>
          </c:val>
          <c:dPt>
            <c:idx val="0"/>
            <c:spPr>
              <a:solidFill>
                <a:srgbClr val="B6D7BF"/>
              </a:solidFill>
            </c:spPr>
          </c:dPt>
        </c:ser>
        <c:overlap val="100"/>
        <c:axId val="1"/>
        <c:axId val="2"/>
      </c:barChart>
      <c:catAx>
        <c:axId val="1"/>
        <c:axPos val="b"/>
        <c:crossAx val="2"/>
        <c:auto val="1"/>
        <c:delete val="0"/>
        <c:majorTickMark val="none"/>
        <c:minorTickMark val="none"/>
        <c:tickLblPos val="none"/>
        <c:crosses val="autoZero"/>
        <c:scaling>
          <c:orientation val="minMax"/>
        </c:scaling>
        <c:spPr>
          <a:ln>
            <a:noFill/>
          </a:ln>
        </c:spPr>
      </c:catAx>
      <c:valAx>
        <c:axId val="2"/>
        <c:axPos val="l"/>
        <c:crossAx val="1"/>
        <c:auto val="1"/>
        <c:delete val="0"/>
        <c:majorTickMark val="none"/>
        <c:minorTickMark val="none"/>
        <c:tickLblPos val="none"/>
        <c:crosses val="autoZero"/>
        <c:scaling>
          <c:orientation val="minMax"/>
        </c:scaling>
        <c:spPr>
          <a:ln>
            <a:noFill/>
          </a:ln>
        </c:spPr>
      </c:valAx>
    </c:plotArea>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Face to face (not online)</c:v>
              </c:pt>
              <c:pt idx="1">
                <c:v>Online</c:v>
              </c:pt>
            </c:strLit>
          </c:cat>
          <c:val>
            <c:numLit>
              <c:ptCount val="2"/>
              <c:pt idx="0">
                <c:v>85</c:v>
              </c:pt>
              <c:pt idx="1">
                <c:v>35</c:v>
              </c:pt>
            </c:numLit>
          </c:val>
          <c:dPt>
            <c:idx val="0"/>
            <c:spPr>
              <a:solidFill>
                <a:srgbClr val="2B5B80"/>
              </a:solidFill>
            </c:spPr>
          </c:dPt>
          <c:dPt>
            <c:idx val="1"/>
            <c:spPr>
              <a:solidFill>
                <a:srgbClr val="BECBDB"/>
              </a:solidFill>
            </c:spPr>
          </c:dPt>
        </c:ser>
        <c:overlap val="100"/>
      </c:pieChart>
    </c:plotArea>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Teacher present</c:v>
              </c:pt>
              <c:pt idx="1">
                <c:v>Teacher not present</c:v>
              </c:pt>
            </c:strLit>
          </c:cat>
          <c:val>
            <c:numLit>
              <c:ptCount val="2"/>
              <c:pt idx="0">
                <c:v>30</c:v>
              </c:pt>
              <c:pt idx="1">
                <c:v>90</c:v>
              </c:pt>
            </c:numLit>
          </c:val>
          <c:dPt>
            <c:idx val="0"/>
            <c:spPr>
              <a:solidFill>
                <a:srgbClr val="73604C"/>
              </a:solidFill>
            </c:spPr>
          </c:dPt>
          <c:dPt>
            <c:idx val="1"/>
            <c:spPr>
              <a:solidFill>
                <a:srgbClr val="D3C0AC"/>
              </a:solidFill>
            </c:spPr>
          </c:dPt>
        </c:ser>
        <c:overlap val="100"/>
      </c:pieChart>
    </c:plotArea>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Designer 2021</dc:creator>
  <dc:title/>
  <dc:description/>
  <dc:subject/>
  <cp:keywords/>
  <cp:category/>
  <cp:lastModifiedBy/>
  <dcterms:created xsi:type="dcterms:W3CDTF">2021-05-16T15:49:32+01:00</dcterms:created>
  <dcterms:modified xsi:type="dcterms:W3CDTF">2021-05-16T15:49:32+01:00</dcterms:modified>
</cp:coreProperties>
</file>

<file path=docProps/custom.xml><?xml version="1.0" encoding="utf-8"?>
<Properties xmlns="http://schemas.openxmlformats.org/officeDocument/2006/custom-properties" xmlns:vt="http://schemas.openxmlformats.org/officeDocument/2006/docPropsVTypes"/>
</file>